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CFF6" w14:textId="77777777" w:rsidR="00B11FA0" w:rsidRPr="00B11FA0" w:rsidRDefault="00000000" w:rsidP="00B11FA0">
      <w:r>
        <w:pict w14:anchorId="01BCD32F">
          <v:rect id="_x0000_i1025" style="width:0;height:1.5pt" o:hralign="center" o:hrstd="t" o:hr="t" fillcolor="#a0a0a0" stroked="f"/>
        </w:pict>
      </w:r>
    </w:p>
    <w:p w14:paraId="781DE9D4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WORKLINK WORKFORCE DEVELOPMENT BOARD</w:t>
      </w:r>
    </w:p>
    <w:p w14:paraId="2EA06593" w14:textId="77777777" w:rsidR="00B11FA0" w:rsidRPr="00B11FA0" w:rsidRDefault="00B11FA0" w:rsidP="00B11FA0">
      <w:r w:rsidRPr="00B11FA0">
        <w:rPr>
          <w:b/>
          <w:bCs/>
        </w:rPr>
        <w:t>Call for Proposals – PY26</w:t>
      </w:r>
      <w:r w:rsidRPr="00B11FA0">
        <w:t xml:space="preserve"> </w:t>
      </w:r>
      <w:r w:rsidRPr="00B11FA0">
        <w:br/>
        <w:t>WIOA One</w:t>
      </w:r>
      <w:r w:rsidRPr="00B11FA0">
        <w:noBreakHyphen/>
        <w:t>Stop Operator, Adult, Dislocated Worker &amp; Out</w:t>
      </w:r>
      <w:r w:rsidRPr="00B11FA0">
        <w:noBreakHyphen/>
        <w:t>of</w:t>
      </w:r>
      <w:r w:rsidRPr="00B11FA0">
        <w:noBreakHyphen/>
        <w:t>School Youth Programming</w:t>
      </w:r>
      <w:r w:rsidRPr="00B11FA0">
        <w:br/>
      </w:r>
      <w:r w:rsidRPr="00B11FA0">
        <w:rPr>
          <w:b/>
          <w:bCs/>
        </w:rPr>
        <w:t>Issue Date:</w:t>
      </w:r>
      <w:r w:rsidRPr="00B11FA0">
        <w:t xml:space="preserve"> February 22, 2026</w:t>
      </w:r>
      <w:r w:rsidRPr="00B11FA0">
        <w:br/>
      </w:r>
      <w:r w:rsidRPr="00B11FA0">
        <w:rPr>
          <w:b/>
          <w:bCs/>
        </w:rPr>
        <w:t>Contact:</w:t>
      </w:r>
      <w:r w:rsidRPr="00B11FA0">
        <w:t xml:space="preserve"> Victoria Britton, Executive Director – vbritton@worklinkweb.com</w:t>
      </w:r>
    </w:p>
    <w:p w14:paraId="5A65801C" w14:textId="77777777" w:rsidR="00B11FA0" w:rsidRPr="00B11FA0" w:rsidRDefault="00000000" w:rsidP="00B11FA0">
      <w:r>
        <w:pict w14:anchorId="43FE7057">
          <v:rect id="_x0000_i1026" style="width:0;height:1.5pt" o:hralign="center" o:hrstd="t" o:hr="t" fillcolor="#a0a0a0" stroked="f"/>
        </w:pict>
      </w:r>
    </w:p>
    <w:p w14:paraId="02F0857F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CONTENTS</w:t>
      </w:r>
    </w:p>
    <w:p w14:paraId="603E0C03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1: INTRODUCTION AND BACKGROUND</w:t>
      </w:r>
    </w:p>
    <w:p w14:paraId="475FB5BE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Purpose of WIOA</w:t>
      </w:r>
    </w:p>
    <w:p w14:paraId="3DCC2506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Overview of the WorkLink Workforce Development Board</w:t>
      </w:r>
    </w:p>
    <w:p w14:paraId="5BB51957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Vision, Mission, and Core Purpose</w:t>
      </w:r>
    </w:p>
    <w:p w14:paraId="4D9A075B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Administrative Entity</w:t>
      </w:r>
    </w:p>
    <w:p w14:paraId="2919055A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Workforce Landscape</w:t>
      </w:r>
    </w:p>
    <w:p w14:paraId="3FEF18A0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Overview of the SC Works System</w:t>
      </w:r>
    </w:p>
    <w:p w14:paraId="52907E2D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Designated SC Works Centers</w:t>
      </w:r>
    </w:p>
    <w:p w14:paraId="0C456C34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Required Notices and Compliance Statements</w:t>
      </w:r>
    </w:p>
    <w:p w14:paraId="5E54B0ED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Disclaimers</w:t>
      </w:r>
    </w:p>
    <w:p w14:paraId="72144A1D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One</w:t>
      </w:r>
      <w:r w:rsidRPr="00B11FA0">
        <w:noBreakHyphen/>
        <w:t>Stop Operator Role Clarification (Updated)</w:t>
      </w:r>
    </w:p>
    <w:p w14:paraId="0F6C2875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2: SOLICITATION INFORMATION</w:t>
      </w:r>
    </w:p>
    <w:p w14:paraId="4358D5F6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WorkLink Procurement (Updated)</w:t>
      </w:r>
    </w:p>
    <w:p w14:paraId="421526D1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Contact Information</w:t>
      </w:r>
    </w:p>
    <w:p w14:paraId="407F01B5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Solicitation Timeline</w:t>
      </w:r>
    </w:p>
    <w:p w14:paraId="6371582A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lastRenderedPageBreak/>
        <w:t>Eligible Bidders &amp; Qualifications</w:t>
      </w:r>
    </w:p>
    <w:p w14:paraId="0E50342E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Technical Review &amp; Presentations</w:t>
      </w:r>
    </w:p>
    <w:p w14:paraId="35EE71EC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3: SCOPE OF SERVICES AND OPERATIONS</w:t>
      </w:r>
    </w:p>
    <w:p w14:paraId="179540D4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Overview and Primary Goals</w:t>
      </w:r>
    </w:p>
    <w:p w14:paraId="53E4D38A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Partner Coordination</w:t>
      </w:r>
    </w:p>
    <w:p w14:paraId="0C943CC3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SC Works Center Management &amp; Certification (Updated)</w:t>
      </w:r>
    </w:p>
    <w:p w14:paraId="2DEBC056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Services to Job Seekers</w:t>
      </w:r>
    </w:p>
    <w:p w14:paraId="483E5F42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Employer Service Coordination</w:t>
      </w:r>
    </w:p>
    <w:p w14:paraId="1BD953C6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WIOA</w:t>
      </w:r>
      <w:r w:rsidRPr="00B11FA0">
        <w:noBreakHyphen/>
        <w:t>Funded Work</w:t>
      </w:r>
      <w:r w:rsidRPr="00B11FA0">
        <w:noBreakHyphen/>
        <w:t>Based Learning (Updated)</w:t>
      </w:r>
    </w:p>
    <w:p w14:paraId="7B6FA2E0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Rapid Response Services</w:t>
      </w:r>
    </w:p>
    <w:p w14:paraId="04C86450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Workforce Services in the Community &amp; Access Points</w:t>
      </w:r>
    </w:p>
    <w:p w14:paraId="16BD0B23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Outreach</w:t>
      </w:r>
    </w:p>
    <w:p w14:paraId="6D60E86C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Special Grants &amp; Outside Funding</w:t>
      </w:r>
    </w:p>
    <w:p w14:paraId="39C1659B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WIOA Out</w:t>
      </w:r>
      <w:r w:rsidRPr="00B11FA0">
        <w:noBreakHyphen/>
        <w:t>of</w:t>
      </w:r>
      <w:r w:rsidRPr="00B11FA0">
        <w:noBreakHyphen/>
        <w:t>School Youth Services</w:t>
      </w:r>
    </w:p>
    <w:p w14:paraId="4B63B437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Adult &amp; Dislocated Worker Program Design</w:t>
      </w:r>
    </w:p>
    <w:p w14:paraId="4B0571B4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Definitions and Resources</w:t>
      </w:r>
    </w:p>
    <w:p w14:paraId="2AE7EA6C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Program Administration</w:t>
      </w:r>
    </w:p>
    <w:p w14:paraId="1E18F785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4: WORKLINK DELIVERABLES &amp; REPORTING (Updated)</w:t>
      </w:r>
    </w:p>
    <w:p w14:paraId="3EDC6B54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5: PROPOSAL APPLICATION &amp; SUBMISSION INSTRUCTIONS</w:t>
      </w:r>
    </w:p>
    <w:p w14:paraId="290E5055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Format &amp; Accessibility Requirements</w:t>
      </w:r>
    </w:p>
    <w:p w14:paraId="252C860D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Required Forms and Attachments</w:t>
      </w:r>
    </w:p>
    <w:p w14:paraId="381F6AE7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Submitting Confidential Information (FOIA)</w:t>
      </w:r>
    </w:p>
    <w:p w14:paraId="2854F304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Electronic Submission Requirements</w:t>
      </w:r>
    </w:p>
    <w:p w14:paraId="5DFBA4C9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lastRenderedPageBreak/>
        <w:t>Due Date &amp; Automatic Extensions</w:t>
      </w:r>
    </w:p>
    <w:p w14:paraId="19EDA609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6: PROPOSAL NARRATIVE INSTRUCTIONS</w:t>
      </w:r>
    </w:p>
    <w:p w14:paraId="4D077A24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7: BUDGET &amp; BUDGET NARRATIVE INSTRUCTIONS (Updated)</w:t>
      </w:r>
    </w:p>
    <w:p w14:paraId="32E58CDF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8: EVALUATION CRITERIA AND RATING SYSTEM</w:t>
      </w:r>
    </w:p>
    <w:p w14:paraId="2B5A2007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9: SELECTION &amp; POST</w:t>
      </w:r>
      <w:r w:rsidRPr="00B11FA0">
        <w:rPr>
          <w:b/>
          <w:bCs/>
        </w:rPr>
        <w:noBreakHyphen/>
        <w:t>SELECTION</w:t>
      </w:r>
    </w:p>
    <w:p w14:paraId="3B8B7E4A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rPr>
          <w:b/>
          <w:bCs/>
        </w:rPr>
        <w:t>PART 10: FORMS (INDEX)</w:t>
      </w:r>
    </w:p>
    <w:p w14:paraId="7178BD3D" w14:textId="77777777" w:rsidR="00B11FA0" w:rsidRPr="00B11FA0" w:rsidRDefault="00B11FA0" w:rsidP="00B11FA0">
      <w:pPr>
        <w:numPr>
          <w:ilvl w:val="0"/>
          <w:numId w:val="1"/>
        </w:numPr>
      </w:pPr>
      <w:r w:rsidRPr="00B11FA0">
        <w:t>Appendix A – Compliance References</w:t>
      </w:r>
    </w:p>
    <w:p w14:paraId="4000BDA1" w14:textId="77777777" w:rsidR="00B11FA0" w:rsidRPr="00B11FA0" w:rsidRDefault="00000000" w:rsidP="00B11FA0">
      <w:r>
        <w:pict w14:anchorId="13289147">
          <v:rect id="_x0000_i1027" style="width:0;height:1.5pt" o:hralign="center" o:hrstd="t" o:hr="t" fillcolor="#a0a0a0" stroked="f"/>
        </w:pict>
      </w:r>
    </w:p>
    <w:p w14:paraId="777795B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1: INTRODUCTION AND BACKGROUND</w:t>
      </w:r>
    </w:p>
    <w:p w14:paraId="41B676BA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Purpose of WIOA</w:t>
      </w:r>
    </w:p>
    <w:p w14:paraId="0FF585BB" w14:textId="77777777" w:rsidR="00B11FA0" w:rsidRPr="00B11FA0" w:rsidRDefault="00B11FA0" w:rsidP="00B11FA0">
      <w:r w:rsidRPr="00B11FA0">
        <w:t>WIOA is designed to increase the prosperity of workers and employers; improve workforce quality; reduce welfare dependency; increase economic self</w:t>
      </w:r>
      <w:r w:rsidRPr="00B11FA0">
        <w:noBreakHyphen/>
        <w:t>sufficiency; meet employer skill needs; and enhance national productivity and competitiveness.</w:t>
      </w:r>
    </w:p>
    <w:p w14:paraId="59180756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Overview of the WorkLink Workforce Development Board</w:t>
      </w:r>
    </w:p>
    <w:p w14:paraId="09DE551F" w14:textId="77777777" w:rsidR="00B11FA0" w:rsidRPr="00B11FA0" w:rsidRDefault="00B11FA0" w:rsidP="00B11FA0">
      <w:r w:rsidRPr="00B11FA0">
        <w:t>The WorkLink WDB serves Anderson, Oconee, and Pickens counties, ensuring a market</w:t>
      </w:r>
      <w:r w:rsidRPr="00B11FA0">
        <w:noBreakHyphen/>
        <w:t>driven workforce system responsive to employers and job seekers.</w:t>
      </w:r>
    </w:p>
    <w:p w14:paraId="317448CD" w14:textId="77777777" w:rsidR="00B11FA0" w:rsidRPr="00B11FA0" w:rsidRDefault="00B11FA0" w:rsidP="00B11FA0">
      <w:pPr>
        <w:rPr>
          <w:b/>
          <w:bCs/>
          <w:color w:val="EE0000"/>
        </w:rPr>
      </w:pPr>
      <w:r w:rsidRPr="00B11FA0">
        <w:rPr>
          <w:b/>
          <w:bCs/>
          <w:color w:val="EE0000"/>
        </w:rPr>
        <w:t>Vision, Mission, and Core Purpose</w:t>
      </w:r>
    </w:p>
    <w:p w14:paraId="55199F56" w14:textId="77777777" w:rsidR="00B11FA0" w:rsidRPr="00B11FA0" w:rsidRDefault="00B11FA0" w:rsidP="00B11FA0">
      <w:r w:rsidRPr="00B11FA0">
        <w:rPr>
          <w:b/>
          <w:bCs/>
        </w:rPr>
        <w:t>Vision:</w:t>
      </w:r>
      <w:r w:rsidRPr="00B11FA0">
        <w:t xml:space="preserve"> A fully employed and highly skilled workforce in South Carolina.</w:t>
      </w:r>
      <w:r w:rsidRPr="00B11FA0">
        <w:br/>
      </w:r>
      <w:r w:rsidRPr="00B11FA0">
        <w:rPr>
          <w:b/>
          <w:bCs/>
        </w:rPr>
        <w:t>Mission:</w:t>
      </w:r>
      <w:r w:rsidRPr="00B11FA0">
        <w:t xml:space="preserve"> Develop the link between employers and the workforce.</w:t>
      </w:r>
      <w:r w:rsidRPr="00B11FA0">
        <w:br/>
      </w:r>
      <w:r w:rsidRPr="00B11FA0">
        <w:rPr>
          <w:b/>
          <w:bCs/>
        </w:rPr>
        <w:t>Core Purpose:</w:t>
      </w:r>
      <w:r w:rsidRPr="00B11FA0">
        <w:t xml:space="preserve"> Improve workforce and quality of life in the region.</w:t>
      </w:r>
    </w:p>
    <w:p w14:paraId="53028F4A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Administrative Entity</w:t>
      </w:r>
    </w:p>
    <w:p w14:paraId="243FFD0D" w14:textId="77777777" w:rsidR="00B11FA0" w:rsidRPr="00B11FA0" w:rsidRDefault="00B11FA0" w:rsidP="00B11FA0">
      <w:r w:rsidRPr="00B11FA0">
        <w:t>The South Carolina Appalachian Council of Governments (ACOG) serves as Administrative Entity and Fiscal Agent.</w:t>
      </w:r>
    </w:p>
    <w:p w14:paraId="45DB962B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Workforce Landscape</w:t>
      </w:r>
    </w:p>
    <w:p w14:paraId="141CBD2D" w14:textId="77777777" w:rsidR="00B11FA0" w:rsidRPr="00B11FA0" w:rsidRDefault="00B11FA0" w:rsidP="00B11FA0">
      <w:r w:rsidRPr="00B11FA0">
        <w:lastRenderedPageBreak/>
        <w:t>Labor market information is available through the SCWOS LMI portal. Proposers must use current data.</w:t>
      </w:r>
    </w:p>
    <w:p w14:paraId="2D921AC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Overview of the SC Works System</w:t>
      </w:r>
    </w:p>
    <w:p w14:paraId="59190274" w14:textId="77777777" w:rsidR="00B11FA0" w:rsidRPr="00B11FA0" w:rsidRDefault="00B11FA0" w:rsidP="00B11FA0">
      <w:r w:rsidRPr="00B11FA0">
        <w:t>The SC Works system integrates federal, state, and local partners to provide employment, training, and business services.</w:t>
      </w:r>
    </w:p>
    <w:p w14:paraId="2F7FF9A7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Designated SC Works Centers</w:t>
      </w:r>
    </w:p>
    <w:p w14:paraId="5B994984" w14:textId="77777777" w:rsidR="00B11FA0" w:rsidRPr="00B11FA0" w:rsidRDefault="00B11FA0" w:rsidP="00B11FA0">
      <w:r w:rsidRPr="00B11FA0">
        <w:rPr>
          <w:b/>
          <w:bCs/>
        </w:rPr>
        <w:t>Comprehensive Center:</w:t>
      </w:r>
      <w:r w:rsidRPr="00B11FA0">
        <w:t xml:space="preserve"> </w:t>
      </w:r>
      <w:r w:rsidRPr="00B11FA0">
        <w:br/>
        <w:t>SC Works Clemson at East Park – 1376 Tiger Blvd., Suite 102, Clemson, SC 29631</w:t>
      </w:r>
      <w:r w:rsidRPr="00B11FA0">
        <w:br/>
        <w:t>Hours: 8:30 AM–5:00 PM, Mon–Fri | Phone: (864) 643</w:t>
      </w:r>
      <w:r w:rsidRPr="00B11FA0">
        <w:noBreakHyphen/>
        <w:t>0071 (TTY 711)</w:t>
      </w:r>
    </w:p>
    <w:p w14:paraId="22A64298" w14:textId="77777777" w:rsidR="00B11FA0" w:rsidRPr="00B11FA0" w:rsidRDefault="00B11FA0" w:rsidP="00B11FA0">
      <w:r w:rsidRPr="00B11FA0">
        <w:rPr>
          <w:b/>
          <w:bCs/>
        </w:rPr>
        <w:t>Affiliate Centers:</w:t>
      </w:r>
      <w:r w:rsidRPr="00B11FA0">
        <w:t xml:space="preserve"> </w:t>
      </w:r>
      <w:r w:rsidRPr="00B11FA0">
        <w:br/>
        <w:t>SC Works Anderson – 1428 Pearman Dairy Rd, Anderson, SC 29624</w:t>
      </w:r>
      <w:r w:rsidRPr="00B11FA0">
        <w:br/>
        <w:t>SC Works Easley – 1774 Powdersville Rd, Easley, SC 29642</w:t>
      </w:r>
      <w:r w:rsidRPr="00B11FA0">
        <w:br/>
        <w:t>SC Works Seneca – 104 Vocational Drive, Seneca, SC 29672</w:t>
      </w:r>
    </w:p>
    <w:p w14:paraId="5F557B7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Access Points</w:t>
      </w:r>
    </w:p>
    <w:p w14:paraId="6D6D56B2" w14:textId="77777777" w:rsidR="00B11FA0" w:rsidRPr="00B11FA0" w:rsidRDefault="00B11FA0" w:rsidP="00B11FA0">
      <w:r w:rsidRPr="00B11FA0">
        <w:t>Anderson Interfaith Ministries; United Way (all counties); Library Systems; The Dream Center; SHARE.</w:t>
      </w:r>
    </w:p>
    <w:p w14:paraId="16A3D0CB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Required Notices</w:t>
      </w:r>
    </w:p>
    <w:p w14:paraId="258DC567" w14:textId="77777777" w:rsidR="00B11FA0" w:rsidRPr="00B11FA0" w:rsidRDefault="00B11FA0" w:rsidP="00B11FA0">
      <w:r w:rsidRPr="00B11FA0">
        <w:t>EO Statement (29 CFR Part 38); Stevens Amendment funding disclosure.</w:t>
      </w:r>
    </w:p>
    <w:p w14:paraId="4ADAC919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Disclaimers</w:t>
      </w:r>
    </w:p>
    <w:p w14:paraId="4661A544" w14:textId="77777777" w:rsidR="00B11FA0" w:rsidRPr="00B11FA0" w:rsidRDefault="00B11FA0" w:rsidP="00B11FA0">
      <w:r w:rsidRPr="00B11FA0">
        <w:t>Procurement disclaimer; neutrality statement.</w:t>
      </w:r>
    </w:p>
    <w:p w14:paraId="2B0DEBBC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One</w:t>
      </w:r>
      <w:r w:rsidRPr="00B11FA0">
        <w:rPr>
          <w:b/>
          <w:bCs/>
        </w:rPr>
        <w:noBreakHyphen/>
        <w:t>Stop Operator Role Clarification (Updated)</w:t>
      </w:r>
    </w:p>
    <w:p w14:paraId="50195074" w14:textId="77777777" w:rsidR="00B11FA0" w:rsidRPr="00B11FA0" w:rsidRDefault="00B11FA0" w:rsidP="00B11FA0">
      <w:r w:rsidRPr="00B11FA0">
        <w:t>The OSO coordinates partner services and may not provide direct services without an approved firewall plan demonstrating structural, supervisory, budgetary, spatial, and data separation.</w:t>
      </w:r>
    </w:p>
    <w:p w14:paraId="76306514" w14:textId="77777777" w:rsidR="00B11FA0" w:rsidRPr="00B11FA0" w:rsidRDefault="00000000" w:rsidP="00B11FA0">
      <w:r>
        <w:pict w14:anchorId="165A08D8">
          <v:rect id="_x0000_i1028" style="width:0;height:1.5pt" o:hralign="center" o:hrstd="t" o:hr="t" fillcolor="#a0a0a0" stroked="f"/>
        </w:pict>
      </w:r>
    </w:p>
    <w:p w14:paraId="39A2A288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2: SOLICITATION INFORMATION</w:t>
      </w:r>
    </w:p>
    <w:p w14:paraId="2F421565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lastRenderedPageBreak/>
        <w:t>WorkLink Procurement (Updated)</w:t>
      </w:r>
    </w:p>
    <w:p w14:paraId="153BA34E" w14:textId="77777777" w:rsidR="00B11FA0" w:rsidRPr="00B11FA0" w:rsidRDefault="00B11FA0" w:rsidP="00B11FA0">
      <w:r w:rsidRPr="00B11FA0">
        <w:t xml:space="preserve">All procurement actions must follow </w:t>
      </w:r>
      <w:r w:rsidRPr="00B11FA0">
        <w:rPr>
          <w:b/>
          <w:bCs/>
        </w:rPr>
        <w:t>2 CFR 200.317–200.326</w:t>
      </w:r>
      <w:r w:rsidRPr="00B11FA0">
        <w:t>. Sole</w:t>
      </w:r>
      <w:r w:rsidRPr="00B11FA0">
        <w:noBreakHyphen/>
        <w:t xml:space="preserve">source procurement is prohibited unless </w:t>
      </w:r>
      <w:r w:rsidRPr="00B11FA0">
        <w:rPr>
          <w:b/>
          <w:bCs/>
        </w:rPr>
        <w:t>2 CFR 200.320</w:t>
      </w:r>
      <w:r w:rsidRPr="00B11FA0">
        <w:t xml:space="preserve"> conditions are met.</w:t>
      </w:r>
    </w:p>
    <w:p w14:paraId="2BF4921F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Contact Information</w:t>
      </w:r>
    </w:p>
    <w:p w14:paraId="60967E3C" w14:textId="77777777" w:rsidR="00B11FA0" w:rsidRPr="00B11FA0" w:rsidRDefault="00B11FA0" w:rsidP="00B11FA0">
      <w:r w:rsidRPr="00B11FA0">
        <w:t>Victoria Britton – vbritton@worklinkweb.com</w:t>
      </w:r>
    </w:p>
    <w:p w14:paraId="0875AEE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Solicitation Timeline</w:t>
      </w:r>
    </w:p>
    <w:p w14:paraId="25C26A25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RFP Release: Feb 22, 2026</w:t>
      </w:r>
    </w:p>
    <w:p w14:paraId="2E6ECBB5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Questions Due: Mar 6, 2026</w:t>
      </w:r>
    </w:p>
    <w:p w14:paraId="6B89B66B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Bidder’s Conference: Mar 13, 2026</w:t>
      </w:r>
    </w:p>
    <w:p w14:paraId="1D2814A5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Proposals Due: Mar 27, 2026</w:t>
      </w:r>
    </w:p>
    <w:p w14:paraId="25ACB577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Presentations: Apr 14, 2026</w:t>
      </w:r>
    </w:p>
    <w:p w14:paraId="6DBA608F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Board Vote: Apr 16, 2026</w:t>
      </w:r>
    </w:p>
    <w:p w14:paraId="22172EFC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Notice: Apr 20, 2026</w:t>
      </w:r>
    </w:p>
    <w:p w14:paraId="6E7235B6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Negotiations: Apr 30, 2026</w:t>
      </w:r>
    </w:p>
    <w:p w14:paraId="2E8381DA" w14:textId="77777777" w:rsidR="00B11FA0" w:rsidRPr="00B11FA0" w:rsidRDefault="00B11FA0" w:rsidP="00B11FA0">
      <w:pPr>
        <w:numPr>
          <w:ilvl w:val="0"/>
          <w:numId w:val="2"/>
        </w:numPr>
      </w:pPr>
      <w:r w:rsidRPr="00B11FA0">
        <w:t>Contract Start: Jul 1, 2026</w:t>
      </w:r>
    </w:p>
    <w:p w14:paraId="0619500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Eligible Bidders</w:t>
      </w:r>
    </w:p>
    <w:p w14:paraId="1420E3FC" w14:textId="77777777" w:rsidR="00B11FA0" w:rsidRPr="00B11FA0" w:rsidRDefault="00B11FA0" w:rsidP="00B11FA0">
      <w:r w:rsidRPr="00B11FA0">
        <w:t>Government agencies, nonprofits, educational institutions, workforce intermediaries, for</w:t>
      </w:r>
      <w:r w:rsidRPr="00B11FA0">
        <w:noBreakHyphen/>
        <w:t>profits, and others meeting qualifications.</w:t>
      </w:r>
    </w:p>
    <w:p w14:paraId="4CD6E52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Technical Review</w:t>
      </w:r>
    </w:p>
    <w:p w14:paraId="6B22FD1C" w14:textId="77777777" w:rsidR="00B11FA0" w:rsidRPr="00B11FA0" w:rsidRDefault="00B11FA0" w:rsidP="00B11FA0">
      <w:r w:rsidRPr="00B11FA0">
        <w:t>All proposals undergo technical review; some bidders may be invited to present.</w:t>
      </w:r>
    </w:p>
    <w:p w14:paraId="38550E7D" w14:textId="77777777" w:rsidR="00B11FA0" w:rsidRPr="00B11FA0" w:rsidRDefault="00000000" w:rsidP="00B11FA0">
      <w:r>
        <w:pict w14:anchorId="1711F4DA">
          <v:rect id="_x0000_i1029" style="width:0;height:1.5pt" o:hralign="center" o:hrstd="t" o:hr="t" fillcolor="#a0a0a0" stroked="f"/>
        </w:pict>
      </w:r>
    </w:p>
    <w:p w14:paraId="321999D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3: SCOPE OF SERVICES AND OPERATIONS</w:t>
      </w:r>
    </w:p>
    <w:p w14:paraId="1B30A5E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Overview and Primary Goals</w:t>
      </w:r>
    </w:p>
    <w:p w14:paraId="345A4B7E" w14:textId="77777777" w:rsidR="00B11FA0" w:rsidRPr="00B11FA0" w:rsidRDefault="00B11FA0" w:rsidP="00B11FA0">
      <w:r w:rsidRPr="00B11FA0">
        <w:lastRenderedPageBreak/>
        <w:t>Coordinate WIOA services across centers and partners; ensure high</w:t>
      </w:r>
      <w:r w:rsidRPr="00B11FA0">
        <w:noBreakHyphen/>
        <w:t>quality job seeker and business services; maintain ADA/EO compliance.</w:t>
      </w:r>
    </w:p>
    <w:p w14:paraId="070EE4D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Partner Coordination</w:t>
      </w:r>
    </w:p>
    <w:p w14:paraId="616CB057" w14:textId="77777777" w:rsidR="00B11FA0" w:rsidRPr="00B11FA0" w:rsidRDefault="00B11FA0" w:rsidP="00B11FA0">
      <w:r w:rsidRPr="00B11FA0">
        <w:t>Quarterly coordination to streamline services, reduce duplication, and align resources.</w:t>
      </w:r>
    </w:p>
    <w:p w14:paraId="21B5DCF6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SC Works Center Management &amp; Certification (Updated)</w:t>
      </w:r>
    </w:p>
    <w:p w14:paraId="58EA9DA9" w14:textId="77777777" w:rsidR="00B11FA0" w:rsidRPr="00B11FA0" w:rsidRDefault="00B11FA0" w:rsidP="00B11FA0">
      <w:r w:rsidRPr="00B11FA0">
        <w:t xml:space="preserve">OSO provides functional management but </w:t>
      </w:r>
      <w:r w:rsidRPr="00B11FA0">
        <w:rPr>
          <w:b/>
          <w:bCs/>
        </w:rPr>
        <w:t>does not supervise partner staff</w:t>
      </w:r>
      <w:r w:rsidRPr="00B11FA0">
        <w:t xml:space="preserve"> unless authorized.</w:t>
      </w:r>
    </w:p>
    <w:p w14:paraId="3BAF437F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Services to Job Seekers</w:t>
      </w:r>
    </w:p>
    <w:p w14:paraId="4DBD3694" w14:textId="77777777" w:rsidR="00B11FA0" w:rsidRPr="00B11FA0" w:rsidRDefault="00B11FA0" w:rsidP="00B11FA0">
      <w:r w:rsidRPr="00B11FA0">
        <w:t>Ensure access to WIOA career services, workshops, resource rooms, and ADA</w:t>
      </w:r>
      <w:r w:rsidRPr="00B11FA0">
        <w:noBreakHyphen/>
        <w:t>compliant materials.</w:t>
      </w:r>
    </w:p>
    <w:p w14:paraId="6EE3A4A1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Employer Service Coordination</w:t>
      </w:r>
    </w:p>
    <w:p w14:paraId="2E2F9EAA" w14:textId="77777777" w:rsidR="00B11FA0" w:rsidRPr="00B11FA0" w:rsidRDefault="00B11FA0" w:rsidP="00B11FA0">
      <w:r w:rsidRPr="00B11FA0">
        <w:t>Coordinate employer services, job fairs, sector partnerships, and business engagement.</w:t>
      </w:r>
    </w:p>
    <w:p w14:paraId="73E6A211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WIOA</w:t>
      </w:r>
      <w:r w:rsidRPr="00B11FA0">
        <w:rPr>
          <w:b/>
          <w:bCs/>
        </w:rPr>
        <w:noBreakHyphen/>
        <w:t>Funded Work</w:t>
      </w:r>
      <w:r w:rsidRPr="00B11FA0">
        <w:rPr>
          <w:b/>
          <w:bCs/>
        </w:rPr>
        <w:noBreakHyphen/>
        <w:t>Based Learning (Updated)</w:t>
      </w:r>
    </w:p>
    <w:p w14:paraId="71E45CDC" w14:textId="77777777" w:rsidR="00B11FA0" w:rsidRPr="00B11FA0" w:rsidRDefault="00B11FA0" w:rsidP="00B11FA0">
      <w:r w:rsidRPr="00B11FA0">
        <w:t>OSO coordinates WBL; Title I provider handles eligibility, enrollment, case management, and supportive services.</w:t>
      </w:r>
    </w:p>
    <w:p w14:paraId="60CB5955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Rapid Response Services</w:t>
      </w:r>
    </w:p>
    <w:p w14:paraId="742F03FE" w14:textId="77777777" w:rsidR="00B11FA0" w:rsidRPr="00B11FA0" w:rsidRDefault="00B11FA0" w:rsidP="00B11FA0">
      <w:r w:rsidRPr="00B11FA0">
        <w:t>Support SCDEW</w:t>
      </w:r>
      <w:r w:rsidRPr="00B11FA0">
        <w:noBreakHyphen/>
        <w:t>led Rapid Response efforts for layoffs and closures.</w:t>
      </w:r>
    </w:p>
    <w:p w14:paraId="4AB9199D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Workforce Services in the Community</w:t>
      </w:r>
    </w:p>
    <w:p w14:paraId="3A187D11" w14:textId="77777777" w:rsidR="00B11FA0" w:rsidRPr="00B11FA0" w:rsidRDefault="00B11FA0" w:rsidP="00B11FA0">
      <w:r w:rsidRPr="00B11FA0">
        <w:t>Maintain Access Points; expand outreach to underserved areas.</w:t>
      </w:r>
    </w:p>
    <w:p w14:paraId="5882D7A1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Outreach</w:t>
      </w:r>
    </w:p>
    <w:p w14:paraId="2E972F41" w14:textId="77777777" w:rsidR="00B11FA0" w:rsidRPr="00B11FA0" w:rsidRDefault="00B11FA0" w:rsidP="00B11FA0">
      <w:r w:rsidRPr="00B11FA0">
        <w:t>Develop ongoing outreach aligned with WDB branding.</w:t>
      </w:r>
    </w:p>
    <w:p w14:paraId="78FC9C7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Special Grants</w:t>
      </w:r>
    </w:p>
    <w:p w14:paraId="0E0A6E00" w14:textId="77777777" w:rsidR="00B11FA0" w:rsidRPr="00B11FA0" w:rsidRDefault="00B11FA0" w:rsidP="00B11FA0">
      <w:r w:rsidRPr="00B11FA0">
        <w:t>Collaborate on WorkLink</w:t>
      </w:r>
      <w:r w:rsidRPr="00B11FA0">
        <w:noBreakHyphen/>
        <w:t>pursued grants as allowable.</w:t>
      </w:r>
    </w:p>
    <w:p w14:paraId="412AAC79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lastRenderedPageBreak/>
        <w:t>WIOA Out</w:t>
      </w:r>
      <w:r w:rsidRPr="00B11FA0">
        <w:rPr>
          <w:b/>
          <w:bCs/>
        </w:rPr>
        <w:noBreakHyphen/>
        <w:t>of</w:t>
      </w:r>
      <w:r w:rsidRPr="00B11FA0">
        <w:rPr>
          <w:b/>
          <w:bCs/>
        </w:rPr>
        <w:noBreakHyphen/>
        <w:t>School Youth Services</w:t>
      </w:r>
    </w:p>
    <w:p w14:paraId="1D2779D2" w14:textId="77777777" w:rsidR="00B11FA0" w:rsidRPr="00B11FA0" w:rsidRDefault="00B11FA0" w:rsidP="00B11FA0">
      <w:r w:rsidRPr="00B11FA0">
        <w:t>Follow WIOA eligibility, 14 elements, ISS requirements, and SCWOS documentation.</w:t>
      </w:r>
    </w:p>
    <w:p w14:paraId="0E793B4B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Adult &amp; Dislocated Worker Program Design</w:t>
      </w:r>
    </w:p>
    <w:p w14:paraId="5BE46318" w14:textId="77777777" w:rsidR="00B11FA0" w:rsidRPr="00B11FA0" w:rsidRDefault="00B11FA0" w:rsidP="00B11FA0">
      <w:r w:rsidRPr="00B11FA0">
        <w:t>Align with local/regional plans; include SMART goals; use evidence</w:t>
      </w:r>
      <w:r w:rsidRPr="00B11FA0">
        <w:noBreakHyphen/>
        <w:t>based practices.</w:t>
      </w:r>
    </w:p>
    <w:p w14:paraId="63BA680F" w14:textId="77777777" w:rsidR="00B11FA0" w:rsidRPr="00B11FA0" w:rsidRDefault="00000000" w:rsidP="00B11FA0">
      <w:r>
        <w:pict w14:anchorId="26EB1362">
          <v:rect id="_x0000_i1030" style="width:0;height:1.5pt" o:hralign="center" o:hrstd="t" o:hr="t" fillcolor="#a0a0a0" stroked="f"/>
        </w:pict>
      </w:r>
    </w:p>
    <w:p w14:paraId="0136E736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4: WORKLINK DELIVERABLES &amp; REPORTING (Updated)</w:t>
      </w:r>
    </w:p>
    <w:p w14:paraId="3250BB57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Contractor Deliverables</w:t>
      </w:r>
    </w:p>
    <w:p w14:paraId="5E2FBF56" w14:textId="77777777" w:rsidR="00B11FA0" w:rsidRPr="00B11FA0" w:rsidRDefault="00B11FA0" w:rsidP="00B11FA0">
      <w:r w:rsidRPr="00B11FA0">
        <w:t xml:space="preserve">Annual MOUs; certification; facility maintenance; plans; performance; partner coordination; dashboards; </w:t>
      </w:r>
      <w:r w:rsidRPr="00B11FA0">
        <w:rPr>
          <w:rFonts w:ascii="Cambria Math" w:hAnsi="Cambria Math" w:cs="Cambria Math"/>
        </w:rPr>
        <w:t>≥</w:t>
      </w:r>
      <w:r w:rsidRPr="00B11FA0">
        <w:t xml:space="preserve">95% expenditure; </w:t>
      </w:r>
      <w:r w:rsidRPr="00B11FA0">
        <w:rPr>
          <w:rFonts w:ascii="Cambria Math" w:hAnsi="Cambria Math" w:cs="Cambria Math"/>
        </w:rPr>
        <w:t>≥</w:t>
      </w:r>
      <w:r w:rsidRPr="00B11FA0">
        <w:t>30% WBL reimbursements.</w:t>
      </w:r>
    </w:p>
    <w:p w14:paraId="68CC3D9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Reporting Requirements</w:t>
      </w:r>
    </w:p>
    <w:p w14:paraId="7E62B472" w14:textId="77777777" w:rsidR="00B11FA0" w:rsidRPr="00B11FA0" w:rsidRDefault="00B11FA0" w:rsidP="00B11FA0">
      <w:r w:rsidRPr="00B11FA0">
        <w:t>Monthly/quarterly programmatic reports; monthly financials; SCDEW reporting alignment.</w:t>
      </w:r>
    </w:p>
    <w:p w14:paraId="2BB17246" w14:textId="77777777" w:rsidR="00B11FA0" w:rsidRPr="00B11FA0" w:rsidRDefault="00000000" w:rsidP="00B11FA0">
      <w:r>
        <w:pict w14:anchorId="23535552">
          <v:rect id="_x0000_i1031" style="width:0;height:1.5pt" o:hralign="center" o:hrstd="t" o:hr="t" fillcolor="#a0a0a0" stroked="f"/>
        </w:pict>
      </w:r>
    </w:p>
    <w:p w14:paraId="5179C0D2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5: PROPOSAL APPLICATION &amp; SUBMISSION INSTRUCTIONS</w:t>
      </w:r>
    </w:p>
    <w:p w14:paraId="46E70684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Format Requirements</w:t>
      </w:r>
    </w:p>
    <w:p w14:paraId="27F1C1B5" w14:textId="77777777" w:rsidR="00B11FA0" w:rsidRPr="00B11FA0" w:rsidRDefault="00B11FA0" w:rsidP="00B11FA0">
      <w:r w:rsidRPr="00B11FA0">
        <w:t>12</w:t>
      </w:r>
      <w:r w:rsidRPr="00B11FA0">
        <w:noBreakHyphen/>
        <w:t>pt Calibri; 1</w:t>
      </w:r>
      <w:r w:rsidRPr="00B11FA0">
        <w:noBreakHyphen/>
        <w:t>inch margins; page numbers; header; table of contents.</w:t>
      </w:r>
    </w:p>
    <w:p w14:paraId="00A108BC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Accessibility Requirements</w:t>
      </w:r>
    </w:p>
    <w:p w14:paraId="3CD8CED1" w14:textId="77777777" w:rsidR="00B11FA0" w:rsidRPr="00B11FA0" w:rsidRDefault="00B11FA0" w:rsidP="00B11FA0">
      <w:r w:rsidRPr="00B11FA0">
        <w:t>Searchable text; tagged headings; alt text; high contrast; accessible formats.</w:t>
      </w:r>
    </w:p>
    <w:p w14:paraId="6482FC72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Required Forms</w:t>
      </w:r>
    </w:p>
    <w:p w14:paraId="101B8286" w14:textId="77777777" w:rsidR="00B11FA0" w:rsidRPr="00B11FA0" w:rsidRDefault="00B11FA0" w:rsidP="00B11FA0">
      <w:r w:rsidRPr="00B11FA0">
        <w:t>Forms A–J plus attachments.</w:t>
      </w:r>
    </w:p>
    <w:p w14:paraId="0A6B11B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Confidential Information (FOIA)</w:t>
      </w:r>
    </w:p>
    <w:p w14:paraId="48946F4E" w14:textId="77777777" w:rsidR="00B11FA0" w:rsidRPr="00B11FA0" w:rsidRDefault="00B11FA0" w:rsidP="00B11FA0">
      <w:r w:rsidRPr="00B11FA0">
        <w:t>Mark confidential pages appropriately; pricing is public.</w:t>
      </w:r>
    </w:p>
    <w:p w14:paraId="017ECF8B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lastRenderedPageBreak/>
        <w:t>Electronic Submission</w:t>
      </w:r>
    </w:p>
    <w:p w14:paraId="78ECB08E" w14:textId="77777777" w:rsidR="00B11FA0" w:rsidRPr="00B11FA0" w:rsidRDefault="00B11FA0" w:rsidP="00B11FA0">
      <w:r w:rsidRPr="00B11FA0">
        <w:t>Submit complete electronic copy; provide redacted version if needed.</w:t>
      </w:r>
    </w:p>
    <w:p w14:paraId="2B3E261C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Due Date &amp; Extensions</w:t>
      </w:r>
    </w:p>
    <w:p w14:paraId="0A48BC31" w14:textId="77777777" w:rsidR="00B11FA0" w:rsidRPr="00B11FA0" w:rsidRDefault="00B11FA0" w:rsidP="00B11FA0">
      <w:r w:rsidRPr="00B11FA0">
        <w:t>Emergency closures extend deadlines to next business day.</w:t>
      </w:r>
    </w:p>
    <w:p w14:paraId="23686A3C" w14:textId="77777777" w:rsidR="00B11FA0" w:rsidRPr="00B11FA0" w:rsidRDefault="00000000" w:rsidP="00B11FA0">
      <w:r>
        <w:pict w14:anchorId="4EFCDF8A">
          <v:rect id="_x0000_i1032" style="width:0;height:1.5pt" o:hralign="center" o:hrstd="t" o:hr="t" fillcolor="#a0a0a0" stroked="f"/>
        </w:pict>
      </w:r>
    </w:p>
    <w:p w14:paraId="77C04FB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6: PROPOSAL NARRATIVE INSTRUCTIONS</w:t>
      </w:r>
    </w:p>
    <w:p w14:paraId="27C024F6" w14:textId="77777777" w:rsidR="00B11FA0" w:rsidRPr="00B11FA0" w:rsidRDefault="00B11FA0" w:rsidP="00B11FA0">
      <w:r w:rsidRPr="00B11FA0">
        <w:t>Include synopsis, experience, staffing, compliance, technology, org chart, resumes, monitoring, and development.</w:t>
      </w:r>
    </w:p>
    <w:p w14:paraId="1156AB71" w14:textId="77777777" w:rsidR="00B11FA0" w:rsidRPr="00B11FA0" w:rsidRDefault="00000000" w:rsidP="00B11FA0">
      <w:r>
        <w:pict w14:anchorId="5618862D">
          <v:rect id="_x0000_i1033" style="width:0;height:1.5pt" o:hralign="center" o:hrstd="t" o:hr="t" fillcolor="#a0a0a0" stroked="f"/>
        </w:pict>
      </w:r>
    </w:p>
    <w:p w14:paraId="44FBB8C3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7: BUDGET &amp; BUDGET NARRATIVE INSTRUCTIONS (Updated)</w:t>
      </w:r>
    </w:p>
    <w:p w14:paraId="07EBD8DA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Budget Overview</w:t>
      </w:r>
    </w:p>
    <w:p w14:paraId="7DEAC5A9" w14:textId="77777777" w:rsidR="00B11FA0" w:rsidRPr="00B11FA0" w:rsidRDefault="00B11FA0" w:rsidP="00B11FA0">
      <w:r w:rsidRPr="00B11FA0">
        <w:t>Use Form C; max request $1,350,251; include subcontractor budgets.</w:t>
      </w:r>
    </w:p>
    <w:p w14:paraId="32ADD384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Allowability &amp; Allocability</w:t>
      </w:r>
    </w:p>
    <w:p w14:paraId="519830D0" w14:textId="77777777" w:rsidR="00B11FA0" w:rsidRPr="00B11FA0" w:rsidRDefault="00B11FA0" w:rsidP="00B11FA0">
      <w:r w:rsidRPr="00B11FA0">
        <w:t xml:space="preserve">Costs must meet </w:t>
      </w:r>
      <w:r w:rsidRPr="00B11FA0">
        <w:rPr>
          <w:b/>
          <w:bCs/>
        </w:rPr>
        <w:t>2 CFR 200.403</w:t>
      </w:r>
      <w:r w:rsidRPr="00B11FA0">
        <w:t>.</w:t>
      </w:r>
    </w:p>
    <w:p w14:paraId="56958ECD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Staff Costs, Operating Costs, Participant Costs</w:t>
      </w:r>
    </w:p>
    <w:p w14:paraId="42943640" w14:textId="77777777" w:rsidR="00B11FA0" w:rsidRPr="00B11FA0" w:rsidRDefault="00B11FA0" w:rsidP="00B11FA0">
      <w:r w:rsidRPr="00B11FA0">
        <w:t xml:space="preserve">Provide calculations; attach travel policy; equipment </w:t>
      </w:r>
      <w:r w:rsidRPr="00B11FA0">
        <w:rPr>
          <w:rFonts w:ascii="Cambria Math" w:hAnsi="Cambria Math" w:cs="Cambria Math"/>
        </w:rPr>
        <w:t>≥</w:t>
      </w:r>
      <w:r w:rsidRPr="00B11FA0">
        <w:t>$5,000 requires approval.</w:t>
      </w:r>
    </w:p>
    <w:p w14:paraId="4AF1FEAE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Profit / Indirect (Updated)</w:t>
      </w:r>
    </w:p>
    <w:p w14:paraId="40C4335A" w14:textId="77777777" w:rsidR="00B11FA0" w:rsidRPr="00B11FA0" w:rsidRDefault="00B11FA0" w:rsidP="00B11FA0">
      <w:r w:rsidRPr="00B11FA0">
        <w:t>For</w:t>
      </w:r>
      <w:r w:rsidRPr="00B11FA0">
        <w:noBreakHyphen/>
        <w:t xml:space="preserve">profits must negotiate profit separately per </w:t>
      </w:r>
      <w:r w:rsidRPr="00B11FA0">
        <w:rPr>
          <w:b/>
          <w:bCs/>
        </w:rPr>
        <w:t>20 CFR 683.295</w:t>
      </w:r>
      <w:r w:rsidRPr="00B11FA0">
        <w:t>.</w:t>
      </w:r>
    </w:p>
    <w:p w14:paraId="41F2CAE1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Salary &amp; Bonus Limits</w:t>
      </w:r>
    </w:p>
    <w:p w14:paraId="1A5DE2A5" w14:textId="77777777" w:rsidR="00B11FA0" w:rsidRPr="00B11FA0" w:rsidRDefault="00B11FA0" w:rsidP="00B11FA0">
      <w:r w:rsidRPr="00B11FA0">
        <w:t xml:space="preserve">Must not exceed Executive Level II per </w:t>
      </w:r>
      <w:r w:rsidRPr="00B11FA0">
        <w:rPr>
          <w:b/>
          <w:bCs/>
        </w:rPr>
        <w:t>20 CFR 683.290</w:t>
      </w:r>
      <w:r w:rsidRPr="00B11FA0">
        <w:t>.</w:t>
      </w:r>
    </w:p>
    <w:p w14:paraId="1ECCA3AB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Required Ratios</w:t>
      </w:r>
    </w:p>
    <w:p w14:paraId="2BAF94CA" w14:textId="77777777" w:rsidR="00B11FA0" w:rsidRPr="00B11FA0" w:rsidRDefault="00B11FA0" w:rsidP="00B11FA0">
      <w:r w:rsidRPr="00B11FA0">
        <w:rPr>
          <w:rFonts w:ascii="Cambria Math" w:hAnsi="Cambria Math" w:cs="Cambria Math"/>
        </w:rPr>
        <w:t>≥</w:t>
      </w:r>
      <w:r w:rsidRPr="00B11FA0">
        <w:t>30% to participant/employer reimbursements; board approval required for overages.</w:t>
      </w:r>
    </w:p>
    <w:p w14:paraId="09EBCFAB" w14:textId="77777777" w:rsidR="00B11FA0" w:rsidRPr="00B11FA0" w:rsidRDefault="00000000" w:rsidP="00B11FA0">
      <w:r>
        <w:pict w14:anchorId="05E04C69">
          <v:rect id="_x0000_i1034" style="width:0;height:1.5pt" o:hralign="center" o:hrstd="t" o:hr="t" fillcolor="#a0a0a0" stroked="f"/>
        </w:pict>
      </w:r>
    </w:p>
    <w:p w14:paraId="368A9522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lastRenderedPageBreak/>
        <w:t>PART 8: EVALUATION CRITERIA</w:t>
      </w:r>
    </w:p>
    <w:p w14:paraId="7D881429" w14:textId="77777777" w:rsidR="00B11FA0" w:rsidRPr="00B11FA0" w:rsidRDefault="00B11FA0" w:rsidP="00B11FA0">
      <w:r w:rsidRPr="00B11FA0">
        <w:t>Scoring includes synopsis, experience, program design, service delivery, outreach, and budget.</w:t>
      </w:r>
    </w:p>
    <w:p w14:paraId="687A6ECA" w14:textId="77777777" w:rsidR="00B11FA0" w:rsidRPr="00B11FA0" w:rsidRDefault="00000000" w:rsidP="00B11FA0">
      <w:r>
        <w:pict w14:anchorId="08E00661">
          <v:rect id="_x0000_i1035" style="width:0;height:1.5pt" o:hralign="center" o:hrstd="t" o:hr="t" fillcolor="#a0a0a0" stroked="f"/>
        </w:pict>
      </w:r>
    </w:p>
    <w:p w14:paraId="3BF92C00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9: SELECTION &amp; POST</w:t>
      </w:r>
      <w:r w:rsidRPr="00B11FA0">
        <w:rPr>
          <w:b/>
          <w:bCs/>
        </w:rPr>
        <w:noBreakHyphen/>
        <w:t>SELECTION</w:t>
      </w:r>
    </w:p>
    <w:p w14:paraId="6119D610" w14:textId="77777777" w:rsidR="00B11FA0" w:rsidRPr="00B11FA0" w:rsidRDefault="00B11FA0" w:rsidP="00B11FA0">
      <w:r w:rsidRPr="00B11FA0">
        <w:t>Technical review; ranking; negotiation; NTE contracts; monitoring; compliance; appeals within 15 days.</w:t>
      </w:r>
    </w:p>
    <w:p w14:paraId="37360A64" w14:textId="77777777" w:rsidR="00B11FA0" w:rsidRPr="00B11FA0" w:rsidRDefault="00000000" w:rsidP="00B11FA0">
      <w:r>
        <w:pict w14:anchorId="15616D7D">
          <v:rect id="_x0000_i1036" style="width:0;height:1.5pt" o:hralign="center" o:hrstd="t" o:hr="t" fillcolor="#a0a0a0" stroked="f"/>
        </w:pict>
      </w:r>
    </w:p>
    <w:p w14:paraId="2F396B5B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PART 10: FORMS (INDEX)</w:t>
      </w:r>
    </w:p>
    <w:p w14:paraId="48D85168" w14:textId="77777777" w:rsidR="00B11FA0" w:rsidRPr="00B11FA0" w:rsidRDefault="00B11FA0" w:rsidP="00B11FA0">
      <w:r w:rsidRPr="00B11FA0">
        <w:t>Forms A–J.</w:t>
      </w:r>
    </w:p>
    <w:p w14:paraId="2DB7EA55" w14:textId="77777777" w:rsidR="00B11FA0" w:rsidRPr="00B11FA0" w:rsidRDefault="00000000" w:rsidP="00B11FA0">
      <w:r>
        <w:pict w14:anchorId="55B21B5E">
          <v:rect id="_x0000_i1037" style="width:0;height:1.5pt" o:hralign="center" o:hrstd="t" o:hr="t" fillcolor="#a0a0a0" stroked="f"/>
        </w:pict>
      </w:r>
    </w:p>
    <w:p w14:paraId="03A599C5" w14:textId="77777777" w:rsidR="00B11FA0" w:rsidRPr="00B11FA0" w:rsidRDefault="00B11FA0" w:rsidP="00B11FA0">
      <w:pPr>
        <w:rPr>
          <w:b/>
          <w:bCs/>
        </w:rPr>
      </w:pPr>
      <w:r w:rsidRPr="00B11FA0">
        <w:rPr>
          <w:b/>
          <w:bCs/>
        </w:rPr>
        <w:t>Appendix A – Compliance References</w:t>
      </w:r>
    </w:p>
    <w:p w14:paraId="0308DAB6" w14:textId="77777777" w:rsidR="00B11FA0" w:rsidRPr="00B11FA0" w:rsidRDefault="00B11FA0" w:rsidP="00B11FA0">
      <w:r w:rsidRPr="00B11FA0">
        <w:t>20 CFR Parts 678, 682, 683; 2 CFR Part 200; 29 CFR Part 38; TEGLs; SCDEW guidance.</w:t>
      </w:r>
    </w:p>
    <w:p w14:paraId="05BB17D1" w14:textId="77777777" w:rsidR="00B11FA0" w:rsidRPr="00B11FA0" w:rsidRDefault="00000000" w:rsidP="00B11FA0">
      <w:r>
        <w:pict w14:anchorId="2CD0BF83">
          <v:rect id="_x0000_i1038" style="width:0;height:1.5pt" o:hralign="center" o:hrstd="t" o:hr="t" fillcolor="#a0a0a0" stroked="f"/>
        </w:pict>
      </w:r>
    </w:p>
    <w:sectPr w:rsidR="00B11FA0" w:rsidRPr="00B11F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D556" w14:textId="77777777" w:rsidR="000D1516" w:rsidRDefault="000D1516" w:rsidP="00AA1F97">
      <w:pPr>
        <w:spacing w:after="0" w:line="240" w:lineRule="auto"/>
      </w:pPr>
      <w:r>
        <w:separator/>
      </w:r>
    </w:p>
  </w:endnote>
  <w:endnote w:type="continuationSeparator" w:id="0">
    <w:p w14:paraId="43108224" w14:textId="77777777" w:rsidR="000D1516" w:rsidRDefault="000D1516" w:rsidP="00AA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u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2024" w14:textId="507DCBB7" w:rsidR="00AA1F97" w:rsidRPr="00AA1F97" w:rsidRDefault="00AA1F97">
    <w:pPr>
      <w:pStyle w:val="Footer"/>
      <w:rPr>
        <w:sz w:val="16"/>
        <w:szCs w:val="16"/>
      </w:rPr>
    </w:pPr>
    <w:r w:rsidRPr="00AA1F97">
      <w:rPr>
        <w:sz w:val="16"/>
        <w:szCs w:val="16"/>
      </w:rPr>
      <w:t>Addendum</w:t>
    </w:r>
  </w:p>
  <w:p w14:paraId="677E9FEA" w14:textId="77777777" w:rsidR="00AA1F97" w:rsidRDefault="00AA1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EF8F" w14:textId="77777777" w:rsidR="000D1516" w:rsidRDefault="000D1516" w:rsidP="00AA1F97">
      <w:pPr>
        <w:spacing w:after="0" w:line="240" w:lineRule="auto"/>
      </w:pPr>
      <w:r>
        <w:separator/>
      </w:r>
    </w:p>
  </w:footnote>
  <w:footnote w:type="continuationSeparator" w:id="0">
    <w:p w14:paraId="2DB73596" w14:textId="77777777" w:rsidR="000D1516" w:rsidRDefault="000D1516" w:rsidP="00AA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C456E"/>
    <w:multiLevelType w:val="multilevel"/>
    <w:tmpl w:val="A88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C0A02"/>
    <w:multiLevelType w:val="multilevel"/>
    <w:tmpl w:val="4CE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4918"/>
    <w:multiLevelType w:val="multilevel"/>
    <w:tmpl w:val="BA0A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375922">
    <w:abstractNumId w:val="1"/>
  </w:num>
  <w:num w:numId="2" w16cid:durableId="389184770">
    <w:abstractNumId w:val="0"/>
  </w:num>
  <w:num w:numId="3" w16cid:durableId="84169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A0"/>
    <w:rsid w:val="000D1516"/>
    <w:rsid w:val="000F361B"/>
    <w:rsid w:val="006C312D"/>
    <w:rsid w:val="00700124"/>
    <w:rsid w:val="007C6C81"/>
    <w:rsid w:val="00920A71"/>
    <w:rsid w:val="00A90CD1"/>
    <w:rsid w:val="00AA1F97"/>
    <w:rsid w:val="00B11FA0"/>
    <w:rsid w:val="00C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18C3"/>
  <w15:chartTrackingRefBased/>
  <w15:docId w15:val="{141E2665-BC03-45B4-A250-51E42F4A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gur" w:eastAsiaTheme="minorHAnsi" w:hAnsi="Vegur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FA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F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F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F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F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F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FA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F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97"/>
  </w:style>
  <w:style w:type="paragraph" w:styleId="Footer">
    <w:name w:val="footer"/>
    <w:basedOn w:val="Normal"/>
    <w:link w:val="FooterChar"/>
    <w:uiPriority w:val="99"/>
    <w:unhideWhenUsed/>
    <w:rsid w:val="00AA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subject/>
  <dc:creator>Windy Graham</dc:creator>
  <cp:keywords/>
  <dc:description/>
  <cp:lastModifiedBy>Victoria Britton</cp:lastModifiedBy>
  <cp:revision>2</cp:revision>
  <dcterms:created xsi:type="dcterms:W3CDTF">2026-02-23T16:44:00Z</dcterms:created>
  <dcterms:modified xsi:type="dcterms:W3CDTF">2026-02-23T16:44:00Z</dcterms:modified>
</cp:coreProperties>
</file>